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C07" w:rsidRDefault="00936C07" w:rsidP="00936C07">
      <w:r>
        <w:rPr>
          <w:rFonts w:ascii="Times New Roman" w:eastAsia="Times New Roman" w:hAnsi="Times New Roman" w:cs="Times New Roman"/>
          <w:b/>
          <w:bCs/>
          <w:noProof/>
          <w:kern w:val="36"/>
          <w:sz w:val="48"/>
          <w:szCs w:val="48"/>
        </w:rPr>
        <w:drawing>
          <wp:inline distT="0" distB="0" distL="0" distR="0" wp14:anchorId="283C3D80" wp14:editId="2A10171E">
            <wp:extent cx="6858000" cy="14427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442720"/>
                    </a:xfrm>
                    <a:prstGeom prst="rect">
                      <a:avLst/>
                    </a:prstGeom>
                    <a:noFill/>
                    <a:ln>
                      <a:noFill/>
                    </a:ln>
                  </pic:spPr>
                </pic:pic>
              </a:graphicData>
            </a:graphic>
          </wp:inline>
        </w:drawing>
      </w:r>
    </w:p>
    <w:p w:rsidR="00936C07" w:rsidRDefault="00936C07" w:rsidP="004607F9">
      <w:pPr>
        <w:spacing w:after="0" w:line="240" w:lineRule="auto"/>
        <w:rPr>
          <w:rStyle w:val="subheading1"/>
          <w:color w:val="auto"/>
        </w:rPr>
      </w:pPr>
      <w:r w:rsidRPr="004607F9">
        <w:rPr>
          <w:rStyle w:val="heading10"/>
          <w:color w:val="auto"/>
          <w:sz w:val="48"/>
          <w:szCs w:val="48"/>
        </w:rPr>
        <w:t>#5 Title Production</w:t>
      </w:r>
      <w:r w:rsidRPr="004607F9">
        <w:br/>
      </w:r>
      <w:r w:rsidRPr="004607F9">
        <w:rPr>
          <w:rStyle w:val="subheading1"/>
          <w:color w:val="auto"/>
        </w:rPr>
        <w:t>Adopt and maintain written procedures related to submitting final title opinion, documents and premium to title insurer in order to obtain timely issuance of title insurance policies post-closing.</w:t>
      </w:r>
    </w:p>
    <w:p w:rsidR="004607F9" w:rsidRDefault="004607F9" w:rsidP="004607F9">
      <w:pPr>
        <w:spacing w:after="0" w:line="240" w:lineRule="auto"/>
        <w:rPr>
          <w:rStyle w:val="subheading1"/>
          <w:color w:val="auto"/>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8"/>
        <w:gridCol w:w="270"/>
        <w:gridCol w:w="5130"/>
      </w:tblGrid>
      <w:tr w:rsidR="004607F9" w:rsidTr="00F30EFC">
        <w:trPr>
          <w:trHeight w:val="837"/>
        </w:trPr>
        <w:tc>
          <w:tcPr>
            <w:tcW w:w="11088" w:type="dxa"/>
            <w:gridSpan w:val="3"/>
            <w:vAlign w:val="center"/>
          </w:tcPr>
          <w:p w:rsidR="004607F9" w:rsidRPr="00162485" w:rsidRDefault="004607F9" w:rsidP="00F30EFC">
            <w:pPr>
              <w:pStyle w:val="Heading1"/>
              <w:spacing w:before="0" w:beforeAutospacing="0" w:after="0" w:afterAutospacing="0"/>
              <w:outlineLvl w:val="0"/>
            </w:pPr>
            <w:r w:rsidRPr="00162485">
              <w:t>Purpose</w:t>
            </w:r>
          </w:p>
          <w:p w:rsidR="004607F9" w:rsidRPr="00FF3588" w:rsidRDefault="004607F9" w:rsidP="00F30EFC">
            <w:pPr>
              <w:rPr>
                <w:rFonts w:cs="Segoe UI"/>
                <w:color w:val="002B5C"/>
                <w:szCs w:val="20"/>
              </w:rPr>
            </w:pPr>
            <w:r w:rsidRPr="00EC6CDF">
              <w:rPr>
                <w:rFonts w:cs="Segoe UI"/>
                <w:szCs w:val="20"/>
              </w:rPr>
              <w:t xml:space="preserve">Appropriate procedures for the </w:t>
            </w:r>
            <w:r>
              <w:rPr>
                <w:rFonts w:cs="Segoe UI"/>
                <w:szCs w:val="20"/>
              </w:rPr>
              <w:t xml:space="preserve">delivery of final title opinions, documents and premiums to the title </w:t>
            </w:r>
            <w:proofErr w:type="gramStart"/>
            <w:r>
              <w:rPr>
                <w:rFonts w:cs="Segoe UI"/>
                <w:szCs w:val="20"/>
              </w:rPr>
              <w:t xml:space="preserve">insurer </w:t>
            </w:r>
            <w:r w:rsidRPr="00EC6CDF">
              <w:rPr>
                <w:rFonts w:cs="Segoe UI"/>
                <w:szCs w:val="20"/>
              </w:rPr>
              <w:t xml:space="preserve"> ensures</w:t>
            </w:r>
            <w:proofErr w:type="gramEnd"/>
            <w:r w:rsidRPr="00EC6CDF">
              <w:rPr>
                <w:rFonts w:cs="Segoe UI"/>
                <w:szCs w:val="20"/>
              </w:rPr>
              <w:t xml:space="preserve"> </w:t>
            </w:r>
            <w:r>
              <w:rPr>
                <w:rFonts w:cs="Segoe UI"/>
                <w:szCs w:val="20"/>
              </w:rPr>
              <w:t>attorneys</w:t>
            </w:r>
            <w:r w:rsidRPr="00EC6CDF">
              <w:rPr>
                <w:rFonts w:cs="Segoe UI"/>
                <w:szCs w:val="20"/>
              </w:rPr>
              <w:t xml:space="preserve"> meet their legal and contractual obligations</w:t>
            </w:r>
            <w:r>
              <w:rPr>
                <w:rFonts w:cs="Segoe UI"/>
                <w:szCs w:val="20"/>
              </w:rPr>
              <w:t xml:space="preserve"> under the lender’s written closing instructions</w:t>
            </w:r>
            <w:r w:rsidRPr="00EC6CDF">
              <w:rPr>
                <w:rFonts w:cs="Segoe UI"/>
                <w:szCs w:val="20"/>
              </w:rPr>
              <w:t>.</w:t>
            </w:r>
          </w:p>
        </w:tc>
      </w:tr>
      <w:tr w:rsidR="004607F9" w:rsidRPr="006D0364" w:rsidTr="00F30EFC">
        <w:trPr>
          <w:trHeight w:val="68"/>
        </w:trPr>
        <w:tc>
          <w:tcPr>
            <w:tcW w:w="5688" w:type="dxa"/>
            <w:vMerge w:val="restart"/>
          </w:tcPr>
          <w:p w:rsidR="004607F9" w:rsidRPr="00FF3588" w:rsidRDefault="004607F9" w:rsidP="00F30EFC">
            <w:pPr>
              <w:pStyle w:val="Heading1"/>
              <w:spacing w:before="0" w:beforeAutospacing="0" w:after="0" w:afterAutospacing="0"/>
              <w:jc w:val="both"/>
              <w:outlineLvl w:val="0"/>
            </w:pPr>
            <w:r w:rsidRPr="00FF3588">
              <w:t>What You Should Know</w:t>
            </w:r>
          </w:p>
          <w:p w:rsidR="004607F9" w:rsidRDefault="004607F9" w:rsidP="00F30EFC">
            <w:pPr>
              <w:pStyle w:val="NoSpacing"/>
              <w:jc w:val="both"/>
              <w:rPr>
                <w:sz w:val="18"/>
              </w:rPr>
            </w:pPr>
            <w:r>
              <w:rPr>
                <w:sz w:val="18"/>
              </w:rPr>
              <w:t>One</w:t>
            </w:r>
            <w:r w:rsidRPr="00C72D47">
              <w:rPr>
                <w:sz w:val="18"/>
              </w:rPr>
              <w:t xml:space="preserve"> issue </w:t>
            </w:r>
            <w:r>
              <w:rPr>
                <w:sz w:val="18"/>
              </w:rPr>
              <w:t xml:space="preserve">lenders funding and selling </w:t>
            </w:r>
            <w:proofErr w:type="gramStart"/>
            <w:r>
              <w:rPr>
                <w:sz w:val="18"/>
              </w:rPr>
              <w:t xml:space="preserve">loans </w:t>
            </w:r>
            <w:r w:rsidRPr="00C72D47">
              <w:rPr>
                <w:sz w:val="18"/>
              </w:rPr>
              <w:t xml:space="preserve"> have</w:t>
            </w:r>
            <w:proofErr w:type="gramEnd"/>
            <w:r w:rsidRPr="00C72D47">
              <w:rPr>
                <w:sz w:val="18"/>
              </w:rPr>
              <w:t xml:space="preserve"> is primarily with the timely delivery of title policies </w:t>
            </w:r>
            <w:r>
              <w:rPr>
                <w:sz w:val="18"/>
              </w:rPr>
              <w:t>and completion of post-closing requirements</w:t>
            </w:r>
            <w:r w:rsidRPr="00C72D47">
              <w:rPr>
                <w:sz w:val="18"/>
              </w:rPr>
              <w:t xml:space="preserve">.  Lenders are becoming more aware of the importance of the final policies and are enlisting the aid of title insurance underwriters to follow up on missing title insurance policies. </w:t>
            </w:r>
            <w:r>
              <w:rPr>
                <w:sz w:val="18"/>
              </w:rPr>
              <w:t xml:space="preserve">  Attorneys</w:t>
            </w:r>
            <w:r w:rsidRPr="00C72D47">
              <w:rPr>
                <w:sz w:val="18"/>
              </w:rPr>
              <w:t xml:space="preserve"> who are consistent offenders may notice a decrease in business from that lender.</w:t>
            </w:r>
          </w:p>
          <w:p w:rsidR="004607F9" w:rsidRDefault="004607F9" w:rsidP="00F30EFC">
            <w:pPr>
              <w:pStyle w:val="Heading1"/>
              <w:spacing w:before="0" w:beforeAutospacing="0" w:after="0" w:afterAutospacing="0"/>
              <w:jc w:val="both"/>
              <w:outlineLvl w:val="0"/>
            </w:pPr>
            <w:r>
              <w:t>Title Examination and Certification</w:t>
            </w:r>
          </w:p>
          <w:p w:rsidR="004607F9" w:rsidRPr="006D0364" w:rsidRDefault="00F8789A" w:rsidP="00F30EFC">
            <w:pPr>
              <w:rPr>
                <w:rFonts w:cs="Segoe UI"/>
                <w:szCs w:val="20"/>
              </w:rPr>
            </w:pPr>
            <w:hyperlink r:id="rId7" w:history="1">
              <w:r w:rsidR="004607F9" w:rsidRPr="006D0364">
                <w:rPr>
                  <w:rStyle w:val="Hyperlink"/>
                  <w:rFonts w:cs="Segoe UI"/>
                  <w:szCs w:val="20"/>
                </w:rPr>
                <w:t>Real Estate Lawyers Association of North Carolina Standards of Practice May 9, 2011</w:t>
              </w:r>
            </w:hyperlink>
          </w:p>
          <w:p w:rsidR="004607F9" w:rsidRDefault="004607F9" w:rsidP="00F30EFC">
            <w:pPr>
              <w:rPr>
                <w:rFonts w:cs="Segoe UI"/>
                <w:szCs w:val="20"/>
              </w:rPr>
            </w:pPr>
          </w:p>
          <w:p w:rsidR="004607F9" w:rsidRPr="00F8684B" w:rsidRDefault="004607F9" w:rsidP="00F30EFC">
            <w:pPr>
              <w:rPr>
                <w:rFonts w:cs="Segoe UI"/>
                <w:szCs w:val="20"/>
              </w:rPr>
            </w:pPr>
            <w:r w:rsidRPr="00F8684B">
              <w:rPr>
                <w:rFonts w:cs="Segoe UI"/>
                <w:szCs w:val="20"/>
              </w:rPr>
              <w:t xml:space="preserve">Join the </w:t>
            </w:r>
            <w:hyperlink r:id="rId8" w:history="1">
              <w:r w:rsidRPr="00266E58">
                <w:rPr>
                  <w:rStyle w:val="Hyperlink"/>
                  <w:rFonts w:cs="Segoe UI"/>
                  <w:szCs w:val="20"/>
                </w:rPr>
                <w:t>NCBA Real Property Section</w:t>
              </w:r>
            </w:hyperlink>
            <w:r w:rsidRPr="00F8684B">
              <w:rPr>
                <w:rFonts w:cs="Segoe UI"/>
                <w:szCs w:val="20"/>
              </w:rPr>
              <w:t>.</w:t>
            </w:r>
          </w:p>
          <w:p w:rsidR="004607F9" w:rsidRDefault="004607F9" w:rsidP="00F30EFC">
            <w:pPr>
              <w:rPr>
                <w:rFonts w:cs="Segoe UI"/>
                <w:szCs w:val="20"/>
              </w:rPr>
            </w:pPr>
          </w:p>
          <w:p w:rsidR="004607F9" w:rsidRPr="00F8684B" w:rsidRDefault="004607F9" w:rsidP="00F30EFC">
            <w:pPr>
              <w:rPr>
                <w:rFonts w:cs="Segoe UI"/>
                <w:szCs w:val="20"/>
              </w:rPr>
            </w:pPr>
            <w:r w:rsidRPr="00F8684B">
              <w:rPr>
                <w:rFonts w:cs="Segoe UI"/>
                <w:szCs w:val="20"/>
              </w:rPr>
              <w:t>Participate in seminars on both Real Property practice as well as Practice Management.</w:t>
            </w:r>
          </w:p>
          <w:p w:rsidR="004607F9" w:rsidRPr="006D0364" w:rsidRDefault="004607F9" w:rsidP="00F30EFC">
            <w:pPr>
              <w:rPr>
                <w:rFonts w:cs="Segoe UI"/>
                <w:szCs w:val="20"/>
              </w:rPr>
            </w:pPr>
            <w:r w:rsidRPr="006D0364">
              <w:rPr>
                <w:rFonts w:cs="Segoe UI"/>
                <w:szCs w:val="20"/>
                <w:highlight w:val="yellow"/>
              </w:rPr>
              <w:t xml:space="preserve"> </w:t>
            </w:r>
          </w:p>
          <w:p w:rsidR="004607F9" w:rsidRPr="005A4FC4" w:rsidRDefault="004607F9" w:rsidP="00F30EFC">
            <w:pPr>
              <w:rPr>
                <w:rFonts w:cs="Segoe UI"/>
                <w:color w:val="000000"/>
                <w:szCs w:val="20"/>
              </w:rPr>
            </w:pPr>
            <w:r w:rsidRPr="006D0364">
              <w:rPr>
                <w:rFonts w:cs="Segoe UI"/>
                <w:color w:val="000000"/>
                <w:szCs w:val="20"/>
              </w:rPr>
              <w:t xml:space="preserve">Don’t just document your procedures, use this opportunity to review and revise your procedures.  The more efficient and scalable your procedures are, the better you will be able to handle the ebbs and flows of title </w:t>
            </w:r>
            <w:r>
              <w:rPr>
                <w:rFonts w:cs="Segoe UI"/>
                <w:color w:val="000000"/>
                <w:szCs w:val="20"/>
              </w:rPr>
              <w:t xml:space="preserve">examinations and opinions </w:t>
            </w:r>
            <w:r w:rsidRPr="006D0364">
              <w:rPr>
                <w:rFonts w:cs="Segoe UI"/>
                <w:color w:val="000000"/>
                <w:szCs w:val="20"/>
              </w:rPr>
              <w:t>without hirin</w:t>
            </w:r>
            <w:r>
              <w:rPr>
                <w:rFonts w:cs="Segoe UI"/>
                <w:color w:val="000000"/>
                <w:szCs w:val="20"/>
              </w:rPr>
              <w:t>g and firing.</w:t>
            </w:r>
          </w:p>
        </w:tc>
        <w:tc>
          <w:tcPr>
            <w:tcW w:w="270" w:type="dxa"/>
            <w:tcBorders>
              <w:right w:val="thinThickSmallGap" w:sz="12" w:space="0" w:color="002B5C"/>
            </w:tcBorders>
            <w:shd w:val="clear" w:color="auto" w:fill="auto"/>
          </w:tcPr>
          <w:p w:rsidR="004607F9" w:rsidRPr="000510EC" w:rsidRDefault="004607F9" w:rsidP="00F30EFC">
            <w:pPr>
              <w:ind w:left="72" w:hanging="120"/>
              <w:jc w:val="center"/>
              <w:rPr>
                <w:rFonts w:cs="Segoe UI"/>
                <w:color w:val="FFC425"/>
                <w:szCs w:val="20"/>
              </w:rPr>
            </w:pPr>
          </w:p>
        </w:tc>
        <w:tc>
          <w:tcPr>
            <w:tcW w:w="5130" w:type="dxa"/>
            <w:vMerge w:val="restart"/>
            <w:tcBorders>
              <w:top w:val="thinThickSmallGap" w:sz="12" w:space="0" w:color="002B5C"/>
              <w:left w:val="thinThickSmallGap" w:sz="12" w:space="0" w:color="002B5C"/>
              <w:right w:val="thickThinSmallGap" w:sz="12" w:space="0" w:color="002B5C"/>
            </w:tcBorders>
            <w:shd w:val="clear" w:color="auto" w:fill="F2F2F2" w:themeFill="background1" w:themeFillShade="F2"/>
          </w:tcPr>
          <w:p w:rsidR="004607F9" w:rsidRPr="006D0364" w:rsidRDefault="004607F9" w:rsidP="00F30EFC">
            <w:pPr>
              <w:pStyle w:val="Heading1"/>
              <w:spacing w:before="0" w:beforeAutospacing="0" w:after="0" w:afterAutospacing="0"/>
              <w:outlineLvl w:val="0"/>
              <w:rPr>
                <w:rFonts w:asciiTheme="minorHAnsi" w:hAnsiTheme="minorHAnsi" w:cstheme="minorHAnsi"/>
                <w:color w:val="FFC425"/>
              </w:rPr>
            </w:pPr>
            <w:r w:rsidRPr="006D0364">
              <w:rPr>
                <w:rFonts w:asciiTheme="minorHAnsi" w:hAnsiTheme="minorHAnsi" w:cstheme="minorHAnsi"/>
              </w:rPr>
              <w:t>I</w:t>
            </w:r>
            <w:r w:rsidR="00F8789A">
              <w:rPr>
                <w:rFonts w:asciiTheme="minorHAnsi" w:hAnsiTheme="minorHAnsi" w:cstheme="minorHAnsi"/>
              </w:rPr>
              <w:t>ssue</w:t>
            </w:r>
            <w:bookmarkStart w:id="0" w:name="_GoBack"/>
            <w:bookmarkEnd w:id="0"/>
            <w:r w:rsidRPr="006D0364">
              <w:rPr>
                <w:rFonts w:asciiTheme="minorHAnsi" w:hAnsiTheme="minorHAnsi" w:cstheme="minorHAnsi"/>
              </w:rPr>
              <w:t>s to Consider and Discuss</w:t>
            </w:r>
          </w:p>
          <w:p w:rsidR="004607F9" w:rsidRPr="006D0364" w:rsidRDefault="004607F9" w:rsidP="004607F9">
            <w:pPr>
              <w:pStyle w:val="ListParagraph"/>
              <w:numPr>
                <w:ilvl w:val="0"/>
                <w:numId w:val="1"/>
              </w:numPr>
              <w:spacing w:before="0" w:after="0"/>
              <w:rPr>
                <w:rFonts w:asciiTheme="minorHAnsi" w:hAnsiTheme="minorHAnsi" w:cstheme="minorHAnsi"/>
                <w:sz w:val="18"/>
                <w:szCs w:val="18"/>
              </w:rPr>
            </w:pPr>
            <w:r w:rsidRPr="006D0364">
              <w:rPr>
                <w:rFonts w:asciiTheme="minorHAnsi" w:hAnsiTheme="minorHAnsi" w:cstheme="minorHAnsi"/>
                <w:sz w:val="18"/>
                <w:szCs w:val="18"/>
              </w:rPr>
              <w:t>How close is your office to complying with the recommendation of delivering final opinions, documents and premium to title insurers in sufficient time for issuance of policies within 30 days post-closing?</w:t>
            </w:r>
            <w:r w:rsidRPr="006D0364">
              <w:rPr>
                <w:rFonts w:asciiTheme="minorHAnsi" w:hAnsiTheme="minorHAnsi" w:cstheme="minorHAnsi"/>
                <w:color w:val="000000"/>
                <w:sz w:val="18"/>
                <w:szCs w:val="18"/>
              </w:rPr>
              <w:t xml:space="preserve"> What needs to be addressed in the written procedures to incorporate into your day to day, weekly and month</w:t>
            </w:r>
            <w:r>
              <w:rPr>
                <w:rFonts w:asciiTheme="minorHAnsi" w:hAnsiTheme="minorHAnsi" w:cstheme="minorHAnsi"/>
                <w:color w:val="000000"/>
                <w:sz w:val="18"/>
                <w:szCs w:val="18"/>
              </w:rPr>
              <w:t>ly</w:t>
            </w:r>
            <w:r w:rsidRPr="006D0364">
              <w:rPr>
                <w:rFonts w:asciiTheme="minorHAnsi" w:hAnsiTheme="minorHAnsi" w:cstheme="minorHAnsi"/>
                <w:color w:val="000000"/>
                <w:sz w:val="18"/>
                <w:szCs w:val="18"/>
              </w:rPr>
              <w:t xml:space="preserve"> workflow to improve to meet that expectation?</w:t>
            </w:r>
          </w:p>
          <w:p w:rsidR="004607F9" w:rsidRPr="006D0364" w:rsidRDefault="004607F9" w:rsidP="004607F9">
            <w:pPr>
              <w:pStyle w:val="ListParagraph"/>
              <w:numPr>
                <w:ilvl w:val="0"/>
                <w:numId w:val="1"/>
              </w:numPr>
              <w:spacing w:before="0" w:after="0"/>
              <w:rPr>
                <w:rFonts w:asciiTheme="minorHAnsi" w:hAnsiTheme="minorHAnsi" w:cstheme="minorHAnsi"/>
                <w:color w:val="000000"/>
                <w:sz w:val="18"/>
                <w:szCs w:val="18"/>
              </w:rPr>
            </w:pPr>
            <w:r w:rsidRPr="006D0364">
              <w:rPr>
                <w:rFonts w:asciiTheme="minorHAnsi" w:hAnsiTheme="minorHAnsi" w:cstheme="minorHAnsi"/>
                <w:sz w:val="18"/>
                <w:szCs w:val="18"/>
              </w:rPr>
              <w:t xml:space="preserve">How do you track that information?  </w:t>
            </w:r>
          </w:p>
          <w:p w:rsidR="004607F9" w:rsidRPr="006D0364" w:rsidRDefault="004607F9" w:rsidP="004607F9">
            <w:pPr>
              <w:pStyle w:val="ListParagraph"/>
              <w:numPr>
                <w:ilvl w:val="0"/>
                <w:numId w:val="1"/>
              </w:numPr>
              <w:spacing w:before="0" w:after="0"/>
              <w:rPr>
                <w:rFonts w:asciiTheme="minorHAnsi" w:hAnsiTheme="minorHAnsi" w:cstheme="minorHAnsi"/>
                <w:sz w:val="18"/>
                <w:szCs w:val="18"/>
              </w:rPr>
            </w:pPr>
            <w:r w:rsidRPr="006D0364">
              <w:rPr>
                <w:rFonts w:asciiTheme="minorHAnsi" w:hAnsiTheme="minorHAnsi" w:cstheme="minorHAnsi"/>
                <w:color w:val="000000"/>
                <w:sz w:val="18"/>
                <w:szCs w:val="18"/>
              </w:rPr>
              <w:t>Who is responsible for making sure the procedures are being adhered to?</w:t>
            </w:r>
          </w:p>
          <w:p w:rsidR="004607F9" w:rsidRPr="006D0364" w:rsidRDefault="004607F9" w:rsidP="004607F9">
            <w:pPr>
              <w:pStyle w:val="ListParagraph"/>
              <w:numPr>
                <w:ilvl w:val="0"/>
                <w:numId w:val="1"/>
              </w:numPr>
              <w:spacing w:before="0" w:after="0"/>
              <w:rPr>
                <w:rFonts w:asciiTheme="minorHAnsi" w:hAnsiTheme="minorHAnsi" w:cstheme="minorHAnsi"/>
                <w:sz w:val="18"/>
                <w:szCs w:val="18"/>
              </w:rPr>
            </w:pPr>
            <w:r w:rsidRPr="006D0364">
              <w:rPr>
                <w:rFonts w:asciiTheme="minorHAnsi" w:hAnsiTheme="minorHAnsi" w:cstheme="minorHAnsi"/>
                <w:sz w:val="18"/>
                <w:szCs w:val="18"/>
              </w:rPr>
              <w:t>If you are falling short, what can you do to improve?</w:t>
            </w:r>
          </w:p>
          <w:p w:rsidR="004607F9" w:rsidRPr="006D0364" w:rsidRDefault="004607F9" w:rsidP="004607F9">
            <w:pPr>
              <w:pStyle w:val="ListParagraph"/>
              <w:numPr>
                <w:ilvl w:val="0"/>
                <w:numId w:val="1"/>
              </w:numPr>
              <w:spacing w:before="0" w:after="0"/>
              <w:rPr>
                <w:rFonts w:asciiTheme="minorHAnsi" w:hAnsiTheme="minorHAnsi" w:cstheme="minorHAnsi"/>
                <w:color w:val="000000"/>
                <w:sz w:val="18"/>
                <w:szCs w:val="18"/>
              </w:rPr>
            </w:pPr>
            <w:r w:rsidRPr="006D0364">
              <w:rPr>
                <w:rFonts w:asciiTheme="minorHAnsi" w:hAnsiTheme="minorHAnsi" w:cstheme="minorHAnsi"/>
                <w:color w:val="000000"/>
                <w:sz w:val="18"/>
                <w:szCs w:val="18"/>
              </w:rPr>
              <w:t xml:space="preserve">How will you communicate the </w:t>
            </w:r>
            <w:r w:rsidRPr="006D0364">
              <w:rPr>
                <w:rFonts w:asciiTheme="minorHAnsi" w:hAnsiTheme="minorHAnsi" w:cstheme="minorHAnsi"/>
                <w:b/>
                <w:bCs/>
                <w:i/>
                <w:iCs/>
                <w:color w:val="000000"/>
                <w:sz w:val="18"/>
                <w:szCs w:val="18"/>
              </w:rPr>
              <w:t>adopted</w:t>
            </w:r>
            <w:r w:rsidRPr="006D0364">
              <w:rPr>
                <w:rFonts w:asciiTheme="minorHAnsi" w:hAnsiTheme="minorHAnsi" w:cstheme="minorHAnsi"/>
                <w:color w:val="000000"/>
                <w:sz w:val="18"/>
                <w:szCs w:val="18"/>
              </w:rPr>
              <w:t xml:space="preserve"> written procedures to your employees?  </w:t>
            </w:r>
          </w:p>
          <w:p w:rsidR="004607F9" w:rsidRPr="006D0364" w:rsidRDefault="004607F9" w:rsidP="004607F9">
            <w:pPr>
              <w:pStyle w:val="ListParagraph"/>
              <w:numPr>
                <w:ilvl w:val="0"/>
                <w:numId w:val="1"/>
              </w:numPr>
              <w:spacing w:before="0" w:after="0"/>
              <w:rPr>
                <w:rFonts w:asciiTheme="minorHAnsi" w:hAnsiTheme="minorHAnsi" w:cstheme="minorHAnsi"/>
                <w:color w:val="000000"/>
                <w:sz w:val="18"/>
                <w:szCs w:val="18"/>
              </w:rPr>
            </w:pPr>
            <w:r w:rsidRPr="007A1FAA">
              <w:rPr>
                <w:rFonts w:asciiTheme="minorHAnsi" w:hAnsiTheme="minorHAnsi" w:cstheme="minorHAnsi"/>
                <w:color w:val="000000"/>
                <w:sz w:val="18"/>
                <w:szCs w:val="18"/>
              </w:rPr>
              <w:t>Establish training</w:t>
            </w:r>
            <w:r>
              <w:rPr>
                <w:rFonts w:asciiTheme="minorHAnsi" w:hAnsiTheme="minorHAnsi" w:cstheme="minorHAnsi"/>
                <w:color w:val="000000"/>
                <w:sz w:val="18"/>
                <w:szCs w:val="18"/>
              </w:rPr>
              <w:t xml:space="preserve"> to ensure compliance to a</w:t>
            </w:r>
            <w:r w:rsidRPr="006D0364">
              <w:rPr>
                <w:rFonts w:asciiTheme="minorHAnsi" w:hAnsiTheme="minorHAnsi" w:cstheme="minorHAnsi"/>
                <w:color w:val="000000"/>
                <w:sz w:val="18"/>
                <w:szCs w:val="18"/>
              </w:rPr>
              <w:t xml:space="preserve">ffected employees.  Document employee training.  </w:t>
            </w:r>
          </w:p>
          <w:p w:rsidR="004607F9" w:rsidRPr="006D0364" w:rsidRDefault="004607F9" w:rsidP="004607F9">
            <w:pPr>
              <w:pStyle w:val="ListParagraph"/>
              <w:numPr>
                <w:ilvl w:val="0"/>
                <w:numId w:val="1"/>
              </w:numPr>
              <w:spacing w:before="0" w:after="0"/>
              <w:rPr>
                <w:rFonts w:asciiTheme="minorHAnsi" w:hAnsiTheme="minorHAnsi" w:cstheme="minorHAnsi"/>
                <w:color w:val="000000"/>
                <w:sz w:val="18"/>
                <w:szCs w:val="18"/>
              </w:rPr>
            </w:pPr>
            <w:r w:rsidRPr="006D0364">
              <w:rPr>
                <w:rFonts w:asciiTheme="minorHAnsi" w:hAnsiTheme="minorHAnsi" w:cstheme="minorHAnsi"/>
                <w:color w:val="000000"/>
                <w:sz w:val="18"/>
                <w:szCs w:val="18"/>
              </w:rPr>
              <w:t xml:space="preserve">Develop a </w:t>
            </w:r>
            <w:r w:rsidRPr="00266E58">
              <w:rPr>
                <w:rFonts w:asciiTheme="minorHAnsi" w:hAnsiTheme="minorHAnsi" w:cstheme="minorHAnsi"/>
                <w:color w:val="000000"/>
                <w:sz w:val="18"/>
                <w:szCs w:val="18"/>
              </w:rPr>
              <w:t>written process (see attached sample)</w:t>
            </w:r>
            <w:r w:rsidRPr="006D0364">
              <w:rPr>
                <w:rFonts w:asciiTheme="minorHAnsi" w:hAnsiTheme="minorHAnsi" w:cstheme="minorHAnsi"/>
                <w:color w:val="000000"/>
                <w:sz w:val="18"/>
                <w:szCs w:val="18"/>
              </w:rPr>
              <w:t xml:space="preserve"> to outline how to implement the written policy based on day to day operations/workflow.</w:t>
            </w:r>
          </w:p>
          <w:p w:rsidR="004607F9" w:rsidRPr="006D0364" w:rsidRDefault="004607F9" w:rsidP="004607F9">
            <w:pPr>
              <w:pStyle w:val="ListParagraph"/>
              <w:numPr>
                <w:ilvl w:val="0"/>
                <w:numId w:val="1"/>
              </w:numPr>
              <w:spacing w:before="0" w:after="0"/>
              <w:rPr>
                <w:rFonts w:asciiTheme="minorHAnsi" w:hAnsiTheme="minorHAnsi" w:cstheme="minorHAnsi"/>
                <w:color w:val="000000"/>
                <w:sz w:val="18"/>
                <w:szCs w:val="18"/>
              </w:rPr>
            </w:pPr>
            <w:r w:rsidRPr="006D0364">
              <w:rPr>
                <w:rFonts w:asciiTheme="minorHAnsi" w:hAnsiTheme="minorHAnsi" w:cstheme="minorHAnsi"/>
                <w:color w:val="000000"/>
                <w:sz w:val="18"/>
                <w:szCs w:val="18"/>
              </w:rPr>
              <w:t xml:space="preserve">Establish </w:t>
            </w:r>
            <w:r>
              <w:rPr>
                <w:rFonts w:asciiTheme="minorHAnsi" w:hAnsiTheme="minorHAnsi" w:cstheme="minorHAnsi"/>
                <w:color w:val="000000"/>
                <w:sz w:val="18"/>
                <w:szCs w:val="18"/>
              </w:rPr>
              <w:t>law firm</w:t>
            </w:r>
            <w:r w:rsidRPr="006D0364">
              <w:rPr>
                <w:rFonts w:asciiTheme="minorHAnsi" w:hAnsiTheme="minorHAnsi" w:cstheme="minorHAnsi"/>
                <w:color w:val="000000"/>
                <w:sz w:val="18"/>
                <w:szCs w:val="18"/>
              </w:rPr>
              <w:t xml:space="preserve"> internal </w:t>
            </w:r>
            <w:r>
              <w:rPr>
                <w:rFonts w:asciiTheme="minorHAnsi" w:hAnsiTheme="minorHAnsi" w:cstheme="minorHAnsi"/>
                <w:color w:val="000000"/>
                <w:sz w:val="18"/>
                <w:szCs w:val="18"/>
              </w:rPr>
              <w:t>monitoring</w:t>
            </w:r>
            <w:r w:rsidRPr="006D0364">
              <w:rPr>
                <w:rFonts w:asciiTheme="minorHAnsi" w:hAnsiTheme="minorHAnsi" w:cstheme="minorHAnsi"/>
                <w:color w:val="000000"/>
                <w:sz w:val="18"/>
                <w:szCs w:val="18"/>
              </w:rPr>
              <w:t xml:space="preserve"> process to ensure ongoing compliance in the workflow.</w:t>
            </w:r>
          </w:p>
          <w:p w:rsidR="004607F9" w:rsidRPr="007C4A9F" w:rsidRDefault="004607F9" w:rsidP="004607F9">
            <w:pPr>
              <w:pStyle w:val="ListParagraph"/>
              <w:numPr>
                <w:ilvl w:val="0"/>
                <w:numId w:val="1"/>
              </w:numPr>
              <w:spacing w:before="0" w:after="0"/>
              <w:rPr>
                <w:rFonts w:asciiTheme="minorHAnsi" w:hAnsiTheme="minorHAnsi" w:cstheme="minorHAnsi"/>
                <w:sz w:val="18"/>
                <w:szCs w:val="18"/>
              </w:rPr>
            </w:pPr>
            <w:r w:rsidRPr="006D0364">
              <w:rPr>
                <w:rFonts w:asciiTheme="minorHAnsi" w:hAnsiTheme="minorHAnsi" w:cstheme="minorHAnsi"/>
                <w:sz w:val="18"/>
                <w:szCs w:val="18"/>
              </w:rPr>
              <w:t>Title examination standards and ongoing CLE</w:t>
            </w:r>
            <w:r>
              <w:rPr>
                <w:rFonts w:asciiTheme="minorHAnsi" w:hAnsiTheme="minorHAnsi" w:cstheme="minorHAnsi"/>
                <w:sz w:val="18"/>
                <w:szCs w:val="18"/>
              </w:rPr>
              <w:t xml:space="preserve"> and CPE.</w:t>
            </w:r>
          </w:p>
        </w:tc>
      </w:tr>
      <w:tr w:rsidR="004607F9" w:rsidRPr="006D0364" w:rsidTr="00F30EFC">
        <w:trPr>
          <w:trHeight w:val="5913"/>
        </w:trPr>
        <w:tc>
          <w:tcPr>
            <w:tcW w:w="5688" w:type="dxa"/>
            <w:vMerge/>
          </w:tcPr>
          <w:p w:rsidR="004607F9" w:rsidRPr="00792F0F" w:rsidRDefault="004607F9" w:rsidP="00F30EFC">
            <w:pPr>
              <w:jc w:val="both"/>
              <w:rPr>
                <w:rFonts w:ascii="Gill Sans Ultra Bold Condensed" w:hAnsi="Gill Sans Ultra Bold Condensed"/>
                <w:color w:val="FFC425"/>
                <w:sz w:val="36"/>
              </w:rPr>
            </w:pPr>
          </w:p>
        </w:tc>
        <w:tc>
          <w:tcPr>
            <w:tcW w:w="270" w:type="dxa"/>
            <w:tcBorders>
              <w:right w:val="thinThickSmallGap" w:sz="12" w:space="0" w:color="002B5C"/>
            </w:tcBorders>
            <w:shd w:val="clear" w:color="auto" w:fill="auto"/>
          </w:tcPr>
          <w:p w:rsidR="004607F9" w:rsidRPr="000510EC" w:rsidRDefault="004607F9" w:rsidP="00F30EFC">
            <w:pPr>
              <w:ind w:left="72" w:hanging="120"/>
              <w:jc w:val="center"/>
              <w:rPr>
                <w:rFonts w:cs="Segoe UI"/>
                <w:color w:val="FFC425"/>
                <w:szCs w:val="20"/>
              </w:rPr>
            </w:pPr>
          </w:p>
        </w:tc>
        <w:tc>
          <w:tcPr>
            <w:tcW w:w="5130" w:type="dxa"/>
            <w:vMerge/>
            <w:tcBorders>
              <w:left w:val="thinThickSmallGap" w:sz="12" w:space="0" w:color="002B5C"/>
              <w:bottom w:val="thinThickSmallGap" w:sz="12" w:space="0" w:color="002B5C"/>
              <w:right w:val="thickThinSmallGap" w:sz="12" w:space="0" w:color="002B5C"/>
            </w:tcBorders>
            <w:shd w:val="clear" w:color="auto" w:fill="F2F2F2" w:themeFill="background1" w:themeFillShade="F2"/>
          </w:tcPr>
          <w:p w:rsidR="004607F9" w:rsidRPr="006D0364" w:rsidRDefault="004607F9" w:rsidP="004607F9">
            <w:pPr>
              <w:pStyle w:val="ListParagraph"/>
              <w:numPr>
                <w:ilvl w:val="0"/>
                <w:numId w:val="1"/>
              </w:numPr>
              <w:spacing w:before="0" w:after="0"/>
              <w:rPr>
                <w:rFonts w:asciiTheme="minorHAnsi" w:hAnsiTheme="minorHAnsi" w:cstheme="minorHAnsi"/>
                <w:sz w:val="18"/>
                <w:szCs w:val="18"/>
              </w:rPr>
            </w:pPr>
          </w:p>
        </w:tc>
      </w:tr>
    </w:tbl>
    <w:p w:rsidR="004607F9" w:rsidRDefault="004607F9" w:rsidP="004607F9">
      <w:pPr>
        <w:rPr>
          <w:rFonts w:cstheme="minorHAnsi"/>
          <w:b/>
          <w:bCs/>
          <w:sz w:val="28"/>
          <w:szCs w:val="28"/>
        </w:rPr>
      </w:pPr>
    </w:p>
    <w:p w:rsidR="004607F9" w:rsidRPr="004607F9" w:rsidRDefault="004607F9" w:rsidP="004607F9">
      <w:pPr>
        <w:spacing w:after="0" w:line="240" w:lineRule="auto"/>
        <w:rPr>
          <w:rStyle w:val="subheading1"/>
          <w:color w:val="auto"/>
        </w:rPr>
      </w:pPr>
    </w:p>
    <w:sectPr w:rsidR="004607F9" w:rsidRPr="004607F9" w:rsidSect="00936C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Gill Sans Ultra Bold Condensed">
    <w:panose1 w:val="020B0A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0074B"/>
    <w:multiLevelType w:val="hybridMultilevel"/>
    <w:tmpl w:val="C9569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07"/>
    <w:rsid w:val="000054C0"/>
    <w:rsid w:val="000058E2"/>
    <w:rsid w:val="00026067"/>
    <w:rsid w:val="00026EF4"/>
    <w:rsid w:val="000324AB"/>
    <w:rsid w:val="00033C18"/>
    <w:rsid w:val="0004056E"/>
    <w:rsid w:val="00044BF9"/>
    <w:rsid w:val="000451B6"/>
    <w:rsid w:val="0005019D"/>
    <w:rsid w:val="000622D7"/>
    <w:rsid w:val="00067131"/>
    <w:rsid w:val="00076E69"/>
    <w:rsid w:val="00080312"/>
    <w:rsid w:val="0008076B"/>
    <w:rsid w:val="000849E6"/>
    <w:rsid w:val="00095DD1"/>
    <w:rsid w:val="000B1DD1"/>
    <w:rsid w:val="000D1332"/>
    <w:rsid w:val="000E178E"/>
    <w:rsid w:val="000E1E9C"/>
    <w:rsid w:val="000E7C64"/>
    <w:rsid w:val="000F0203"/>
    <w:rsid w:val="000F34EC"/>
    <w:rsid w:val="000F57CC"/>
    <w:rsid w:val="0010008A"/>
    <w:rsid w:val="00102E82"/>
    <w:rsid w:val="00113F33"/>
    <w:rsid w:val="00114F64"/>
    <w:rsid w:val="0012371D"/>
    <w:rsid w:val="00126873"/>
    <w:rsid w:val="00132C7E"/>
    <w:rsid w:val="0013533A"/>
    <w:rsid w:val="00136FE5"/>
    <w:rsid w:val="0016013F"/>
    <w:rsid w:val="001718E4"/>
    <w:rsid w:val="0017410D"/>
    <w:rsid w:val="00191E29"/>
    <w:rsid w:val="001B3BB3"/>
    <w:rsid w:val="001C15B4"/>
    <w:rsid w:val="001C2B16"/>
    <w:rsid w:val="001C465A"/>
    <w:rsid w:val="001C6D1A"/>
    <w:rsid w:val="001D5421"/>
    <w:rsid w:val="001E028A"/>
    <w:rsid w:val="001E491D"/>
    <w:rsid w:val="001F5202"/>
    <w:rsid w:val="001F6960"/>
    <w:rsid w:val="002115AE"/>
    <w:rsid w:val="002115BA"/>
    <w:rsid w:val="00217772"/>
    <w:rsid w:val="00221C4A"/>
    <w:rsid w:val="00224E29"/>
    <w:rsid w:val="00227294"/>
    <w:rsid w:val="00227A62"/>
    <w:rsid w:val="00230487"/>
    <w:rsid w:val="00244C9F"/>
    <w:rsid w:val="002472C9"/>
    <w:rsid w:val="00272EC0"/>
    <w:rsid w:val="002765D0"/>
    <w:rsid w:val="00276B30"/>
    <w:rsid w:val="00290268"/>
    <w:rsid w:val="00293E50"/>
    <w:rsid w:val="002D001F"/>
    <w:rsid w:val="002D116D"/>
    <w:rsid w:val="002D71F9"/>
    <w:rsid w:val="002D7DF7"/>
    <w:rsid w:val="002E068C"/>
    <w:rsid w:val="002E6D80"/>
    <w:rsid w:val="002F5C99"/>
    <w:rsid w:val="0030036C"/>
    <w:rsid w:val="003014A3"/>
    <w:rsid w:val="003038F2"/>
    <w:rsid w:val="003044CC"/>
    <w:rsid w:val="0030455B"/>
    <w:rsid w:val="003169B4"/>
    <w:rsid w:val="0031757A"/>
    <w:rsid w:val="00317804"/>
    <w:rsid w:val="00323315"/>
    <w:rsid w:val="003254EC"/>
    <w:rsid w:val="003325FF"/>
    <w:rsid w:val="003361DD"/>
    <w:rsid w:val="0034240E"/>
    <w:rsid w:val="00347E64"/>
    <w:rsid w:val="00355461"/>
    <w:rsid w:val="00361150"/>
    <w:rsid w:val="00366D47"/>
    <w:rsid w:val="0037190B"/>
    <w:rsid w:val="00374502"/>
    <w:rsid w:val="00380DCA"/>
    <w:rsid w:val="00384173"/>
    <w:rsid w:val="00386131"/>
    <w:rsid w:val="003A0B59"/>
    <w:rsid w:val="003A2AE7"/>
    <w:rsid w:val="003A4E65"/>
    <w:rsid w:val="003C303E"/>
    <w:rsid w:val="003C326A"/>
    <w:rsid w:val="003D1920"/>
    <w:rsid w:val="003E1750"/>
    <w:rsid w:val="003E383F"/>
    <w:rsid w:val="003E4796"/>
    <w:rsid w:val="00407FCC"/>
    <w:rsid w:val="0041369F"/>
    <w:rsid w:val="004156BB"/>
    <w:rsid w:val="00415F2F"/>
    <w:rsid w:val="00421A1C"/>
    <w:rsid w:val="004607F9"/>
    <w:rsid w:val="00465D5E"/>
    <w:rsid w:val="0047080E"/>
    <w:rsid w:val="00477E57"/>
    <w:rsid w:val="00483842"/>
    <w:rsid w:val="004876E6"/>
    <w:rsid w:val="00490CEA"/>
    <w:rsid w:val="00492434"/>
    <w:rsid w:val="00496E69"/>
    <w:rsid w:val="004C2E49"/>
    <w:rsid w:val="004C4639"/>
    <w:rsid w:val="004D7F47"/>
    <w:rsid w:val="004E1B65"/>
    <w:rsid w:val="004F626E"/>
    <w:rsid w:val="005137CA"/>
    <w:rsid w:val="00513B82"/>
    <w:rsid w:val="00514837"/>
    <w:rsid w:val="00517376"/>
    <w:rsid w:val="005210DA"/>
    <w:rsid w:val="005238FD"/>
    <w:rsid w:val="00523B4B"/>
    <w:rsid w:val="00524050"/>
    <w:rsid w:val="00532F05"/>
    <w:rsid w:val="005363D5"/>
    <w:rsid w:val="00537C39"/>
    <w:rsid w:val="00537FCE"/>
    <w:rsid w:val="00540D31"/>
    <w:rsid w:val="005464DF"/>
    <w:rsid w:val="005465A6"/>
    <w:rsid w:val="00562B0F"/>
    <w:rsid w:val="00563D7F"/>
    <w:rsid w:val="00572A3E"/>
    <w:rsid w:val="00596674"/>
    <w:rsid w:val="005C3FEF"/>
    <w:rsid w:val="005C4EB2"/>
    <w:rsid w:val="005C6378"/>
    <w:rsid w:val="005D0A3A"/>
    <w:rsid w:val="005E0FF4"/>
    <w:rsid w:val="005E1329"/>
    <w:rsid w:val="005E1549"/>
    <w:rsid w:val="005E3048"/>
    <w:rsid w:val="005E4813"/>
    <w:rsid w:val="005E63B5"/>
    <w:rsid w:val="005E7CCB"/>
    <w:rsid w:val="005F49CD"/>
    <w:rsid w:val="00601BE9"/>
    <w:rsid w:val="00606464"/>
    <w:rsid w:val="006107A6"/>
    <w:rsid w:val="00612F7F"/>
    <w:rsid w:val="00645C67"/>
    <w:rsid w:val="00650711"/>
    <w:rsid w:val="00654696"/>
    <w:rsid w:val="0066249A"/>
    <w:rsid w:val="006777B6"/>
    <w:rsid w:val="00682658"/>
    <w:rsid w:val="006916A8"/>
    <w:rsid w:val="006916BC"/>
    <w:rsid w:val="006B459A"/>
    <w:rsid w:val="006B5C96"/>
    <w:rsid w:val="006C3A76"/>
    <w:rsid w:val="006C4B4F"/>
    <w:rsid w:val="006C5C74"/>
    <w:rsid w:val="006D081F"/>
    <w:rsid w:val="006D13ED"/>
    <w:rsid w:val="006D1DB7"/>
    <w:rsid w:val="006E6CA4"/>
    <w:rsid w:val="006F4FC5"/>
    <w:rsid w:val="006F5EBE"/>
    <w:rsid w:val="00706CAF"/>
    <w:rsid w:val="007223B3"/>
    <w:rsid w:val="00723559"/>
    <w:rsid w:val="007303F5"/>
    <w:rsid w:val="0073113B"/>
    <w:rsid w:val="00736F2A"/>
    <w:rsid w:val="00746973"/>
    <w:rsid w:val="007471B1"/>
    <w:rsid w:val="00751DC9"/>
    <w:rsid w:val="007630DE"/>
    <w:rsid w:val="00763B10"/>
    <w:rsid w:val="00771E10"/>
    <w:rsid w:val="007755F7"/>
    <w:rsid w:val="00781038"/>
    <w:rsid w:val="00784B88"/>
    <w:rsid w:val="007934E4"/>
    <w:rsid w:val="007955FB"/>
    <w:rsid w:val="007958BA"/>
    <w:rsid w:val="007C4A72"/>
    <w:rsid w:val="007C5F60"/>
    <w:rsid w:val="007D1BFB"/>
    <w:rsid w:val="007D723E"/>
    <w:rsid w:val="007E0A14"/>
    <w:rsid w:val="007E483E"/>
    <w:rsid w:val="007F643D"/>
    <w:rsid w:val="007F7105"/>
    <w:rsid w:val="00801D66"/>
    <w:rsid w:val="00803C93"/>
    <w:rsid w:val="008065E9"/>
    <w:rsid w:val="008071C2"/>
    <w:rsid w:val="008128E5"/>
    <w:rsid w:val="00813CAE"/>
    <w:rsid w:val="00813F44"/>
    <w:rsid w:val="008433DC"/>
    <w:rsid w:val="008447B4"/>
    <w:rsid w:val="0085342A"/>
    <w:rsid w:val="00867D2D"/>
    <w:rsid w:val="008748E5"/>
    <w:rsid w:val="00885A64"/>
    <w:rsid w:val="00886880"/>
    <w:rsid w:val="00891FCC"/>
    <w:rsid w:val="0089206E"/>
    <w:rsid w:val="00893755"/>
    <w:rsid w:val="00897C6F"/>
    <w:rsid w:val="008A6BA2"/>
    <w:rsid w:val="008B28AD"/>
    <w:rsid w:val="008C08C9"/>
    <w:rsid w:val="008C1095"/>
    <w:rsid w:val="008D07CE"/>
    <w:rsid w:val="008D70CB"/>
    <w:rsid w:val="008E21A7"/>
    <w:rsid w:val="008E2903"/>
    <w:rsid w:val="00900792"/>
    <w:rsid w:val="00901C64"/>
    <w:rsid w:val="0091055D"/>
    <w:rsid w:val="00914D39"/>
    <w:rsid w:val="00921E5E"/>
    <w:rsid w:val="00923033"/>
    <w:rsid w:val="00924583"/>
    <w:rsid w:val="00933E29"/>
    <w:rsid w:val="00936C07"/>
    <w:rsid w:val="00941D0C"/>
    <w:rsid w:val="00945581"/>
    <w:rsid w:val="00962406"/>
    <w:rsid w:val="0096348E"/>
    <w:rsid w:val="009745E2"/>
    <w:rsid w:val="00980238"/>
    <w:rsid w:val="00985D6E"/>
    <w:rsid w:val="00986E1C"/>
    <w:rsid w:val="00997781"/>
    <w:rsid w:val="009A7129"/>
    <w:rsid w:val="009B5483"/>
    <w:rsid w:val="009B7989"/>
    <w:rsid w:val="009B79E8"/>
    <w:rsid w:val="009C1B99"/>
    <w:rsid w:val="009C1E78"/>
    <w:rsid w:val="009C1FD4"/>
    <w:rsid w:val="009C4DEE"/>
    <w:rsid w:val="009C54A9"/>
    <w:rsid w:val="009E28BE"/>
    <w:rsid w:val="009E5F66"/>
    <w:rsid w:val="009E709B"/>
    <w:rsid w:val="009F146D"/>
    <w:rsid w:val="009F4468"/>
    <w:rsid w:val="00A00347"/>
    <w:rsid w:val="00A011E9"/>
    <w:rsid w:val="00A12603"/>
    <w:rsid w:val="00A16975"/>
    <w:rsid w:val="00A25BE5"/>
    <w:rsid w:val="00A32797"/>
    <w:rsid w:val="00A3440D"/>
    <w:rsid w:val="00A34A89"/>
    <w:rsid w:val="00A359D9"/>
    <w:rsid w:val="00A4391E"/>
    <w:rsid w:val="00A6111A"/>
    <w:rsid w:val="00A616C1"/>
    <w:rsid w:val="00A66CC0"/>
    <w:rsid w:val="00A76A1B"/>
    <w:rsid w:val="00A80425"/>
    <w:rsid w:val="00A8223A"/>
    <w:rsid w:val="00A826F3"/>
    <w:rsid w:val="00A83E4D"/>
    <w:rsid w:val="00A862C3"/>
    <w:rsid w:val="00A872D0"/>
    <w:rsid w:val="00A968C1"/>
    <w:rsid w:val="00AA26DE"/>
    <w:rsid w:val="00AA34E4"/>
    <w:rsid w:val="00AA60E8"/>
    <w:rsid w:val="00AB340F"/>
    <w:rsid w:val="00AB4A92"/>
    <w:rsid w:val="00AC1309"/>
    <w:rsid w:val="00AC7F58"/>
    <w:rsid w:val="00AD584F"/>
    <w:rsid w:val="00AD6D77"/>
    <w:rsid w:val="00AE1F11"/>
    <w:rsid w:val="00AE5C09"/>
    <w:rsid w:val="00AF20E7"/>
    <w:rsid w:val="00AF31A8"/>
    <w:rsid w:val="00AF387D"/>
    <w:rsid w:val="00AF4CAF"/>
    <w:rsid w:val="00B04893"/>
    <w:rsid w:val="00B1233B"/>
    <w:rsid w:val="00B22B1D"/>
    <w:rsid w:val="00B265A1"/>
    <w:rsid w:val="00B30F20"/>
    <w:rsid w:val="00B344DC"/>
    <w:rsid w:val="00B35848"/>
    <w:rsid w:val="00B44856"/>
    <w:rsid w:val="00B4532A"/>
    <w:rsid w:val="00B45F93"/>
    <w:rsid w:val="00B64EA9"/>
    <w:rsid w:val="00B73027"/>
    <w:rsid w:val="00B83FD6"/>
    <w:rsid w:val="00B84768"/>
    <w:rsid w:val="00B87769"/>
    <w:rsid w:val="00B9641B"/>
    <w:rsid w:val="00B979E9"/>
    <w:rsid w:val="00BA4200"/>
    <w:rsid w:val="00BA74F2"/>
    <w:rsid w:val="00BB2831"/>
    <w:rsid w:val="00BD02D1"/>
    <w:rsid w:val="00BD2AEF"/>
    <w:rsid w:val="00BD37E9"/>
    <w:rsid w:val="00BD7D3C"/>
    <w:rsid w:val="00BE30B9"/>
    <w:rsid w:val="00BE4383"/>
    <w:rsid w:val="00BE5CB7"/>
    <w:rsid w:val="00BE5EE7"/>
    <w:rsid w:val="00BE7EE3"/>
    <w:rsid w:val="00C104F8"/>
    <w:rsid w:val="00C13959"/>
    <w:rsid w:val="00C14789"/>
    <w:rsid w:val="00C153B3"/>
    <w:rsid w:val="00C228FD"/>
    <w:rsid w:val="00C250A2"/>
    <w:rsid w:val="00C25A19"/>
    <w:rsid w:val="00C35563"/>
    <w:rsid w:val="00C4483D"/>
    <w:rsid w:val="00C45232"/>
    <w:rsid w:val="00C521D8"/>
    <w:rsid w:val="00C529E1"/>
    <w:rsid w:val="00C53509"/>
    <w:rsid w:val="00C762B0"/>
    <w:rsid w:val="00C76A63"/>
    <w:rsid w:val="00C8102E"/>
    <w:rsid w:val="00C838BF"/>
    <w:rsid w:val="00C9079C"/>
    <w:rsid w:val="00C94117"/>
    <w:rsid w:val="00C96FCD"/>
    <w:rsid w:val="00CA174D"/>
    <w:rsid w:val="00CA5C00"/>
    <w:rsid w:val="00CA6F9B"/>
    <w:rsid w:val="00CB52CE"/>
    <w:rsid w:val="00CE572A"/>
    <w:rsid w:val="00CF2869"/>
    <w:rsid w:val="00CF2FC7"/>
    <w:rsid w:val="00D046EF"/>
    <w:rsid w:val="00D056C5"/>
    <w:rsid w:val="00D10772"/>
    <w:rsid w:val="00D108E5"/>
    <w:rsid w:val="00D1160B"/>
    <w:rsid w:val="00D11D53"/>
    <w:rsid w:val="00D404D5"/>
    <w:rsid w:val="00D40726"/>
    <w:rsid w:val="00D40BE6"/>
    <w:rsid w:val="00D4316B"/>
    <w:rsid w:val="00D4327E"/>
    <w:rsid w:val="00D449BE"/>
    <w:rsid w:val="00D50B2C"/>
    <w:rsid w:val="00D56DA3"/>
    <w:rsid w:val="00D7300C"/>
    <w:rsid w:val="00D85F1F"/>
    <w:rsid w:val="00D90609"/>
    <w:rsid w:val="00D92F5F"/>
    <w:rsid w:val="00D9364D"/>
    <w:rsid w:val="00DA005E"/>
    <w:rsid w:val="00DA04B9"/>
    <w:rsid w:val="00DA3C25"/>
    <w:rsid w:val="00DB3C8B"/>
    <w:rsid w:val="00DC15CD"/>
    <w:rsid w:val="00DC434A"/>
    <w:rsid w:val="00DC7927"/>
    <w:rsid w:val="00DE3CEB"/>
    <w:rsid w:val="00DF1D52"/>
    <w:rsid w:val="00DF3990"/>
    <w:rsid w:val="00DF6ED0"/>
    <w:rsid w:val="00E058FB"/>
    <w:rsid w:val="00E05A5A"/>
    <w:rsid w:val="00E2153C"/>
    <w:rsid w:val="00E31A11"/>
    <w:rsid w:val="00E46CEA"/>
    <w:rsid w:val="00E4787D"/>
    <w:rsid w:val="00E632E9"/>
    <w:rsid w:val="00E74E8F"/>
    <w:rsid w:val="00E814B9"/>
    <w:rsid w:val="00E83F63"/>
    <w:rsid w:val="00EA2CFC"/>
    <w:rsid w:val="00EA2D5D"/>
    <w:rsid w:val="00EA64AE"/>
    <w:rsid w:val="00EB08D3"/>
    <w:rsid w:val="00EB14C8"/>
    <w:rsid w:val="00EB158E"/>
    <w:rsid w:val="00EC44F7"/>
    <w:rsid w:val="00ED0635"/>
    <w:rsid w:val="00EE76A2"/>
    <w:rsid w:val="00F05BFF"/>
    <w:rsid w:val="00F1191F"/>
    <w:rsid w:val="00F14719"/>
    <w:rsid w:val="00F271AF"/>
    <w:rsid w:val="00F350ED"/>
    <w:rsid w:val="00F3649B"/>
    <w:rsid w:val="00F367A0"/>
    <w:rsid w:val="00F65D8E"/>
    <w:rsid w:val="00F6668E"/>
    <w:rsid w:val="00F81BD7"/>
    <w:rsid w:val="00F86B24"/>
    <w:rsid w:val="00F8789A"/>
    <w:rsid w:val="00F9113E"/>
    <w:rsid w:val="00F9265A"/>
    <w:rsid w:val="00FA30E0"/>
    <w:rsid w:val="00FA51F6"/>
    <w:rsid w:val="00FB1A70"/>
    <w:rsid w:val="00FB33F2"/>
    <w:rsid w:val="00FC0B76"/>
    <w:rsid w:val="00FC0DD6"/>
    <w:rsid w:val="00FD10E3"/>
    <w:rsid w:val="00FD18DC"/>
    <w:rsid w:val="00FD4FE8"/>
    <w:rsid w:val="00FE23CC"/>
    <w:rsid w:val="00FF0666"/>
    <w:rsid w:val="00FF2926"/>
    <w:rsid w:val="00FF5B14"/>
    <w:rsid w:val="00FF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936C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C07"/>
    <w:rPr>
      <w:rFonts w:ascii="Tahoma" w:hAnsi="Tahoma" w:cs="Tahoma"/>
      <w:sz w:val="16"/>
      <w:szCs w:val="16"/>
    </w:rPr>
  </w:style>
  <w:style w:type="character" w:customStyle="1" w:styleId="heading10">
    <w:name w:val="heading1"/>
    <w:basedOn w:val="DefaultParagraphFont"/>
    <w:rsid w:val="00936C07"/>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936C07"/>
    <w:rPr>
      <w:rFonts w:ascii="Verdana" w:hAnsi="Verdana" w:hint="default"/>
      <w:b/>
      <w:bCs/>
      <w:strike w:val="0"/>
      <w:dstrike w:val="0"/>
      <w:color w:val="666666"/>
      <w:sz w:val="21"/>
      <w:szCs w:val="21"/>
      <w:u w:val="none"/>
      <w:effect w:val="none"/>
    </w:rPr>
  </w:style>
  <w:style w:type="character" w:customStyle="1" w:styleId="Heading1Char">
    <w:name w:val="Heading 1 Char"/>
    <w:basedOn w:val="DefaultParagraphFont"/>
    <w:link w:val="Heading1"/>
    <w:rsid w:val="00936C0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36C07"/>
    <w:rPr>
      <w:color w:val="0000FF"/>
      <w:u w:val="single"/>
    </w:rPr>
  </w:style>
  <w:style w:type="paragraph" w:styleId="ListParagraph">
    <w:name w:val="List Paragraph"/>
    <w:basedOn w:val="Normal"/>
    <w:uiPriority w:val="34"/>
    <w:qFormat/>
    <w:rsid w:val="00936C07"/>
    <w:pPr>
      <w:spacing w:before="120" w:after="12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936C07"/>
    <w:pPr>
      <w:spacing w:after="0" w:line="240" w:lineRule="auto"/>
    </w:pPr>
    <w:rPr>
      <w:rFonts w:ascii="Segoe UI" w:eastAsia="Calibri" w:hAnsi="Segoe UI" w:cs="Times New Roman"/>
      <w:sz w:val="20"/>
    </w:rPr>
  </w:style>
  <w:style w:type="table" w:styleId="TableGrid">
    <w:name w:val="Table Grid"/>
    <w:basedOn w:val="TableNormal"/>
    <w:uiPriority w:val="59"/>
    <w:rsid w:val="00936C07"/>
    <w:pPr>
      <w:spacing w:after="0" w:line="240" w:lineRule="auto"/>
    </w:pPr>
    <w:rPr>
      <w:rFonts w:ascii="Segoe UI" w:hAnsi="Segoe U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936C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C07"/>
    <w:rPr>
      <w:rFonts w:ascii="Tahoma" w:hAnsi="Tahoma" w:cs="Tahoma"/>
      <w:sz w:val="16"/>
      <w:szCs w:val="16"/>
    </w:rPr>
  </w:style>
  <w:style w:type="character" w:customStyle="1" w:styleId="heading10">
    <w:name w:val="heading1"/>
    <w:basedOn w:val="DefaultParagraphFont"/>
    <w:rsid w:val="00936C07"/>
    <w:rPr>
      <w:rFonts w:ascii="Verdana" w:hAnsi="Verdana" w:hint="default"/>
      <w:b/>
      <w:bCs/>
      <w:strike w:val="0"/>
      <w:dstrike w:val="0"/>
      <w:color w:val="444444"/>
      <w:sz w:val="27"/>
      <w:szCs w:val="27"/>
      <w:u w:val="none"/>
      <w:effect w:val="none"/>
    </w:rPr>
  </w:style>
  <w:style w:type="character" w:customStyle="1" w:styleId="subheading1">
    <w:name w:val="subheading1"/>
    <w:basedOn w:val="DefaultParagraphFont"/>
    <w:rsid w:val="00936C07"/>
    <w:rPr>
      <w:rFonts w:ascii="Verdana" w:hAnsi="Verdana" w:hint="default"/>
      <w:b/>
      <w:bCs/>
      <w:strike w:val="0"/>
      <w:dstrike w:val="0"/>
      <w:color w:val="666666"/>
      <w:sz w:val="21"/>
      <w:szCs w:val="21"/>
      <w:u w:val="none"/>
      <w:effect w:val="none"/>
    </w:rPr>
  </w:style>
  <w:style w:type="character" w:customStyle="1" w:styleId="Heading1Char">
    <w:name w:val="Heading 1 Char"/>
    <w:basedOn w:val="DefaultParagraphFont"/>
    <w:link w:val="Heading1"/>
    <w:rsid w:val="00936C0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36C07"/>
    <w:rPr>
      <w:color w:val="0000FF"/>
      <w:u w:val="single"/>
    </w:rPr>
  </w:style>
  <w:style w:type="paragraph" w:styleId="ListParagraph">
    <w:name w:val="List Paragraph"/>
    <w:basedOn w:val="Normal"/>
    <w:uiPriority w:val="34"/>
    <w:qFormat/>
    <w:rsid w:val="00936C07"/>
    <w:pPr>
      <w:spacing w:before="120" w:after="12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936C07"/>
    <w:pPr>
      <w:spacing w:after="0" w:line="240" w:lineRule="auto"/>
    </w:pPr>
    <w:rPr>
      <w:rFonts w:ascii="Segoe UI" w:eastAsia="Calibri" w:hAnsi="Segoe UI" w:cs="Times New Roman"/>
      <w:sz w:val="20"/>
    </w:rPr>
  </w:style>
  <w:style w:type="table" w:styleId="TableGrid">
    <w:name w:val="Table Grid"/>
    <w:basedOn w:val="TableNormal"/>
    <w:uiPriority w:val="59"/>
    <w:rsid w:val="00936C07"/>
    <w:pPr>
      <w:spacing w:after="0" w:line="240" w:lineRule="auto"/>
    </w:pPr>
    <w:rPr>
      <w:rFonts w:ascii="Segoe UI" w:hAnsi="Segoe U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lproperty.ncbar.org/" TargetMode="External"/><Relationship Id="rId3" Type="http://schemas.microsoft.com/office/2007/relationships/stylesWithEffects" Target="stylesWithEffects.xml"/><Relationship Id="rId7" Type="http://schemas.openxmlformats.org/officeDocument/2006/relationships/hyperlink" Target="http://www.relanc.com/standards-of-practic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3</cp:revision>
  <dcterms:created xsi:type="dcterms:W3CDTF">2014-03-16T20:50:00Z</dcterms:created>
  <dcterms:modified xsi:type="dcterms:W3CDTF">2014-03-16T21:15:00Z</dcterms:modified>
</cp:coreProperties>
</file>